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7CE" w:rsidRPr="00CD5505" w:rsidRDefault="0085029D" w:rsidP="0085029D">
      <w:pPr>
        <w:jc w:val="center"/>
        <w:rPr>
          <w:rFonts w:ascii="Arial Black" w:hAnsi="Arial Black" w:cs="Arial"/>
          <w:b/>
          <w:i/>
          <w:color w:val="0070C0"/>
          <w:sz w:val="36"/>
          <w:szCs w:val="36"/>
          <w:u w:val="single"/>
        </w:rPr>
      </w:pPr>
      <w:bookmarkStart w:id="0" w:name="_GoBack"/>
      <w:bookmarkEnd w:id="0"/>
      <w:r w:rsidRPr="00CD5505">
        <w:rPr>
          <w:rFonts w:ascii="Arial Black" w:hAnsi="Arial Black" w:cs="Arial"/>
          <w:b/>
          <w:i/>
          <w:color w:val="0070C0"/>
          <w:sz w:val="36"/>
          <w:szCs w:val="36"/>
          <w:u w:val="single"/>
        </w:rPr>
        <w:t>LA COMMISSION D’APPEL D’OFFRES</w:t>
      </w:r>
    </w:p>
    <w:p w:rsidR="00CD5505" w:rsidRDefault="00CD5505" w:rsidP="0085029D">
      <w:pPr>
        <w:jc w:val="center"/>
        <w:rPr>
          <w:b/>
          <w:i/>
          <w:color w:val="0070C0"/>
          <w:sz w:val="36"/>
          <w:szCs w:val="36"/>
          <w:u w:val="single"/>
        </w:rPr>
      </w:pPr>
    </w:p>
    <w:p w:rsidR="0085029D" w:rsidRPr="00CD5505" w:rsidRDefault="0085029D" w:rsidP="00CD5505">
      <w:pPr>
        <w:autoSpaceDE w:val="0"/>
        <w:autoSpaceDN w:val="0"/>
        <w:adjustRightInd w:val="0"/>
        <w:spacing w:after="0" w:line="240" w:lineRule="auto"/>
        <w:jc w:val="both"/>
        <w:rPr>
          <w:rFonts w:ascii="Arial" w:hAnsi="Arial" w:cs="Arial"/>
        </w:rPr>
      </w:pPr>
      <w:r w:rsidRPr="00CD5505">
        <w:rPr>
          <w:rFonts w:ascii="Arial" w:hAnsi="Arial" w:cs="Arial"/>
          <w:b/>
        </w:rPr>
        <w:t>La Commission d’Appel d’Offres</w:t>
      </w:r>
      <w:r w:rsidRPr="00CD5505">
        <w:rPr>
          <w:rFonts w:ascii="Arial" w:hAnsi="Arial" w:cs="Arial"/>
        </w:rPr>
        <w:t xml:space="preserve"> </w:t>
      </w:r>
      <w:r w:rsidRPr="00CD5505">
        <w:rPr>
          <w:rFonts w:ascii="Arial" w:hAnsi="Arial" w:cs="Arial"/>
          <w:b/>
        </w:rPr>
        <w:t>a un caractère permanent</w:t>
      </w:r>
      <w:r w:rsidRPr="00CD5505">
        <w:rPr>
          <w:rFonts w:ascii="Arial" w:hAnsi="Arial" w:cs="Arial"/>
        </w:rPr>
        <w:t>, ce qui signifie qu’elle est constituée pour la durée du mandat des élus qui la composent. Elle ne peut pas être renouvelée en cours de mandat des élus, quand bien même il y aurait une modification de la représentation des tendances politiques au sein du Conseil Municipal.</w:t>
      </w:r>
    </w:p>
    <w:p w:rsidR="0085029D" w:rsidRPr="00CD5505" w:rsidRDefault="0085029D" w:rsidP="00CD5505">
      <w:pPr>
        <w:autoSpaceDE w:val="0"/>
        <w:autoSpaceDN w:val="0"/>
        <w:adjustRightInd w:val="0"/>
        <w:spacing w:after="0" w:line="240" w:lineRule="auto"/>
        <w:jc w:val="both"/>
        <w:rPr>
          <w:rFonts w:ascii="Arial" w:hAnsi="Arial" w:cs="Arial"/>
        </w:rPr>
      </w:pPr>
      <w:r w:rsidRPr="00CD5505">
        <w:rPr>
          <w:rFonts w:ascii="Arial" w:hAnsi="Arial" w:cs="Arial"/>
        </w:rPr>
        <w:t>Son renouvellement intégral n’est possible que dans l’hypothèse où elle se trouve dans l’impossibilité de pourvoir au remplacement d’un membre titulaire conformément aux règles posées par le Code des Marchés Publics (CMP).</w:t>
      </w:r>
    </w:p>
    <w:p w:rsidR="0085029D" w:rsidRPr="00CD5505" w:rsidRDefault="0085029D" w:rsidP="00CD5505">
      <w:pPr>
        <w:autoSpaceDE w:val="0"/>
        <w:autoSpaceDN w:val="0"/>
        <w:adjustRightInd w:val="0"/>
        <w:spacing w:after="0" w:line="240" w:lineRule="auto"/>
        <w:jc w:val="both"/>
        <w:rPr>
          <w:rFonts w:ascii="Arial" w:hAnsi="Arial" w:cs="Arial"/>
        </w:rPr>
      </w:pPr>
    </w:p>
    <w:p w:rsidR="0085029D" w:rsidRPr="00CD5505" w:rsidRDefault="0085029D" w:rsidP="00CD5505">
      <w:pPr>
        <w:autoSpaceDE w:val="0"/>
        <w:autoSpaceDN w:val="0"/>
        <w:adjustRightInd w:val="0"/>
        <w:spacing w:after="0" w:line="240" w:lineRule="auto"/>
        <w:jc w:val="both"/>
        <w:rPr>
          <w:rFonts w:ascii="Arial" w:hAnsi="Arial" w:cs="Arial"/>
          <w:i/>
          <w:color w:val="FF0000"/>
          <w:sz w:val="20"/>
          <w:szCs w:val="20"/>
        </w:rPr>
      </w:pPr>
      <w:r w:rsidRPr="00CD5505">
        <w:rPr>
          <w:rFonts w:ascii="Arial" w:hAnsi="Arial" w:cs="Arial"/>
          <w:i/>
          <w:color w:val="FF0000"/>
          <w:sz w:val="20"/>
          <w:szCs w:val="20"/>
        </w:rPr>
        <w:t>N.B. : Outre la ou les CAO à caractère permanent, peut aussi être constituée une commission spécifique pour la passation d’un marché déterminé (article 22-I, alinéa 1)</w:t>
      </w:r>
    </w:p>
    <w:p w:rsidR="0085029D" w:rsidRPr="00CD5505" w:rsidRDefault="0085029D" w:rsidP="00CD5505">
      <w:pPr>
        <w:autoSpaceDE w:val="0"/>
        <w:autoSpaceDN w:val="0"/>
        <w:adjustRightInd w:val="0"/>
        <w:spacing w:after="0" w:line="240" w:lineRule="auto"/>
        <w:jc w:val="both"/>
        <w:rPr>
          <w:rFonts w:ascii="Arial" w:hAnsi="Arial" w:cs="Arial"/>
          <w:i/>
          <w:iCs/>
          <w:color w:val="FF0000"/>
          <w:sz w:val="20"/>
          <w:szCs w:val="20"/>
        </w:rPr>
      </w:pPr>
    </w:p>
    <w:p w:rsidR="0085029D" w:rsidRPr="00CD5505" w:rsidRDefault="0085029D" w:rsidP="00CD5505">
      <w:pPr>
        <w:autoSpaceDE w:val="0"/>
        <w:autoSpaceDN w:val="0"/>
        <w:adjustRightInd w:val="0"/>
        <w:spacing w:after="0" w:line="240" w:lineRule="auto"/>
        <w:jc w:val="both"/>
        <w:rPr>
          <w:rFonts w:ascii="Arial" w:hAnsi="Arial" w:cs="Arial"/>
        </w:rPr>
      </w:pPr>
      <w:r w:rsidRPr="00CD5505">
        <w:rPr>
          <w:rFonts w:ascii="Arial" w:hAnsi="Arial" w:cs="Arial"/>
          <w:b/>
        </w:rPr>
        <w:t>La Commission d’Appel d’Offres est investie d’un pouvoir de décision.</w:t>
      </w:r>
      <w:r w:rsidRPr="00CD5505">
        <w:rPr>
          <w:rFonts w:ascii="Arial" w:hAnsi="Arial" w:cs="Arial"/>
        </w:rPr>
        <w:t xml:space="preserve"> Contrairement à d’autres commissions qui n’ont qu’un rôle consultatif, la Commission d’Appel d’Offres des Collectivités Territoriales est investie d’un pouvoir de décision dans le cadre des procédures de marché public où elle intervient (article 22 du Code des Marchés</w:t>
      </w:r>
    </w:p>
    <w:p w:rsidR="0085029D" w:rsidRPr="00CD5505" w:rsidRDefault="0085029D" w:rsidP="00CD5505">
      <w:pPr>
        <w:autoSpaceDE w:val="0"/>
        <w:autoSpaceDN w:val="0"/>
        <w:adjustRightInd w:val="0"/>
        <w:spacing w:after="0" w:line="240" w:lineRule="auto"/>
        <w:jc w:val="both"/>
        <w:rPr>
          <w:rFonts w:ascii="Arial" w:hAnsi="Arial" w:cs="Arial"/>
        </w:rPr>
      </w:pPr>
      <w:r w:rsidRPr="00CD5505">
        <w:rPr>
          <w:rFonts w:ascii="Arial" w:hAnsi="Arial" w:cs="Arial"/>
        </w:rPr>
        <w:t>Publics).</w:t>
      </w:r>
    </w:p>
    <w:p w:rsidR="0085029D" w:rsidRPr="00CD5505" w:rsidRDefault="0085029D" w:rsidP="00CD5505">
      <w:pPr>
        <w:autoSpaceDE w:val="0"/>
        <w:autoSpaceDN w:val="0"/>
        <w:adjustRightInd w:val="0"/>
        <w:spacing w:after="0" w:line="240" w:lineRule="auto"/>
        <w:jc w:val="both"/>
        <w:rPr>
          <w:rFonts w:ascii="Arial" w:hAnsi="Arial" w:cs="Arial"/>
        </w:rPr>
      </w:pPr>
    </w:p>
    <w:p w:rsidR="0085029D" w:rsidRPr="00CD5505" w:rsidRDefault="0085029D" w:rsidP="00CD5505">
      <w:pPr>
        <w:autoSpaceDE w:val="0"/>
        <w:autoSpaceDN w:val="0"/>
        <w:adjustRightInd w:val="0"/>
        <w:spacing w:after="0" w:line="240" w:lineRule="auto"/>
        <w:jc w:val="both"/>
        <w:rPr>
          <w:rFonts w:ascii="Arial" w:hAnsi="Arial" w:cs="Arial"/>
          <w:b/>
        </w:rPr>
      </w:pPr>
      <w:r w:rsidRPr="00CD5505">
        <w:rPr>
          <w:rFonts w:ascii="Arial" w:hAnsi="Arial" w:cs="Arial"/>
          <w:b/>
        </w:rPr>
        <w:t>La Commission d’Appel d’Offres est une émanation de l’organe délibérant</w:t>
      </w:r>
      <w:r w:rsidR="00843676" w:rsidRPr="00CD5505">
        <w:rPr>
          <w:rFonts w:ascii="Arial" w:hAnsi="Arial" w:cs="Arial"/>
          <w:b/>
        </w:rPr>
        <w:t>.</w:t>
      </w:r>
    </w:p>
    <w:p w:rsidR="0085029D" w:rsidRPr="00CD5505" w:rsidRDefault="0085029D" w:rsidP="00CD5505">
      <w:pPr>
        <w:autoSpaceDE w:val="0"/>
        <w:autoSpaceDN w:val="0"/>
        <w:adjustRightInd w:val="0"/>
        <w:spacing w:after="0" w:line="240" w:lineRule="auto"/>
        <w:jc w:val="both"/>
        <w:rPr>
          <w:rFonts w:ascii="Arial" w:hAnsi="Arial" w:cs="Arial"/>
        </w:rPr>
      </w:pPr>
      <w:r w:rsidRPr="00CD5505">
        <w:rPr>
          <w:rFonts w:ascii="Arial" w:hAnsi="Arial" w:cs="Arial"/>
        </w:rPr>
        <w:t>En conséquence, sa composition doit refléter celle de l’assemblée délibérante dont elle est issue. C’est pour cette raison que le mode de scrutin pour l’élection de ses membres est celui de la représentation proportionnelle au plus fort reste qui permet l’expression pluraliste des élus en son sein.</w:t>
      </w:r>
    </w:p>
    <w:p w:rsidR="0085029D" w:rsidRPr="00CD5505" w:rsidRDefault="0085029D" w:rsidP="00CD5505">
      <w:pPr>
        <w:autoSpaceDE w:val="0"/>
        <w:autoSpaceDN w:val="0"/>
        <w:adjustRightInd w:val="0"/>
        <w:spacing w:after="0" w:line="240" w:lineRule="auto"/>
        <w:jc w:val="both"/>
        <w:rPr>
          <w:rFonts w:ascii="Arial" w:hAnsi="Arial" w:cs="Arial"/>
        </w:rPr>
      </w:pPr>
    </w:p>
    <w:p w:rsidR="0085029D" w:rsidRPr="00CD5505" w:rsidRDefault="0085029D" w:rsidP="00CD5505">
      <w:pPr>
        <w:autoSpaceDE w:val="0"/>
        <w:autoSpaceDN w:val="0"/>
        <w:adjustRightInd w:val="0"/>
        <w:spacing w:after="0" w:line="240" w:lineRule="auto"/>
        <w:jc w:val="both"/>
        <w:rPr>
          <w:rFonts w:ascii="Arial" w:hAnsi="Arial" w:cs="Arial"/>
        </w:rPr>
      </w:pPr>
      <w:r w:rsidRPr="00CD5505">
        <w:rPr>
          <w:rFonts w:ascii="Arial" w:hAnsi="Arial" w:cs="Arial"/>
          <w:b/>
        </w:rPr>
        <w:t>Les membres de la Commission d’Appel d’Offres</w:t>
      </w:r>
      <w:r w:rsidRPr="00CD5505">
        <w:rPr>
          <w:rFonts w:ascii="Arial" w:hAnsi="Arial" w:cs="Arial"/>
        </w:rPr>
        <w:t xml:space="preserve"> sont élus :</w:t>
      </w:r>
    </w:p>
    <w:p w:rsidR="0085029D" w:rsidRPr="00CD5505" w:rsidRDefault="0085029D" w:rsidP="00CD5505">
      <w:pPr>
        <w:autoSpaceDE w:val="0"/>
        <w:autoSpaceDN w:val="0"/>
        <w:adjustRightInd w:val="0"/>
        <w:spacing w:after="0" w:line="240" w:lineRule="auto"/>
        <w:jc w:val="both"/>
        <w:rPr>
          <w:rFonts w:ascii="Arial" w:hAnsi="Arial" w:cs="Arial"/>
        </w:rPr>
      </w:pPr>
    </w:p>
    <w:p w:rsidR="0085029D" w:rsidRPr="00CD5505" w:rsidRDefault="0085029D" w:rsidP="00CD5505">
      <w:pPr>
        <w:autoSpaceDE w:val="0"/>
        <w:autoSpaceDN w:val="0"/>
        <w:adjustRightInd w:val="0"/>
        <w:spacing w:after="0" w:line="240" w:lineRule="auto"/>
        <w:jc w:val="both"/>
        <w:rPr>
          <w:rFonts w:ascii="Arial" w:hAnsi="Arial" w:cs="Arial"/>
        </w:rPr>
      </w:pPr>
      <w:r w:rsidRPr="00CD5505">
        <w:rPr>
          <w:rFonts w:ascii="Arial" w:hAnsi="Arial" w:cs="Arial"/>
        </w:rPr>
        <w:t>-</w:t>
      </w:r>
      <w:r w:rsidRPr="00CD5505">
        <w:rPr>
          <w:rFonts w:ascii="Arial" w:eastAsia="Wingdings-Regular" w:hAnsi="Arial" w:cs="Arial"/>
        </w:rPr>
        <w:t xml:space="preserve"> </w:t>
      </w:r>
      <w:r w:rsidRPr="00CD5505">
        <w:rPr>
          <w:rFonts w:ascii="Arial" w:hAnsi="Arial" w:cs="Arial"/>
        </w:rPr>
        <w:t>à la représentation proportionnelle au plus fort reste</w:t>
      </w:r>
    </w:p>
    <w:p w:rsidR="0085029D" w:rsidRPr="00CD5505" w:rsidRDefault="0085029D" w:rsidP="00CD5505">
      <w:pPr>
        <w:autoSpaceDE w:val="0"/>
        <w:autoSpaceDN w:val="0"/>
        <w:adjustRightInd w:val="0"/>
        <w:spacing w:after="0" w:line="240" w:lineRule="auto"/>
        <w:jc w:val="both"/>
        <w:rPr>
          <w:rFonts w:ascii="Arial" w:hAnsi="Arial" w:cs="Arial"/>
        </w:rPr>
      </w:pPr>
      <w:r w:rsidRPr="00CD5505">
        <w:rPr>
          <w:rFonts w:ascii="Arial" w:hAnsi="Arial" w:cs="Arial"/>
        </w:rPr>
        <w:t>- au scrutin de liste</w:t>
      </w:r>
    </w:p>
    <w:p w:rsidR="0085029D" w:rsidRPr="00CD5505" w:rsidRDefault="0085029D" w:rsidP="00CD5505">
      <w:pPr>
        <w:autoSpaceDE w:val="0"/>
        <w:autoSpaceDN w:val="0"/>
        <w:adjustRightInd w:val="0"/>
        <w:spacing w:after="0" w:line="240" w:lineRule="auto"/>
        <w:jc w:val="both"/>
        <w:rPr>
          <w:rFonts w:ascii="Arial" w:hAnsi="Arial" w:cs="Arial"/>
        </w:rPr>
      </w:pPr>
      <w:r w:rsidRPr="00CD5505">
        <w:rPr>
          <w:rFonts w:ascii="Arial" w:hAnsi="Arial" w:cs="Arial"/>
        </w:rPr>
        <w:t>-</w:t>
      </w:r>
      <w:r w:rsidRPr="00CD5505">
        <w:rPr>
          <w:rFonts w:ascii="Arial" w:eastAsia="Wingdings-Regular" w:hAnsi="Arial" w:cs="Arial"/>
        </w:rPr>
        <w:t xml:space="preserve"> </w:t>
      </w:r>
      <w:r w:rsidRPr="00CD5505">
        <w:rPr>
          <w:rFonts w:ascii="Arial" w:hAnsi="Arial" w:cs="Arial"/>
        </w:rPr>
        <w:t>au scrutin secret sauf accord unanime contraire (article L2121-21 du CGCT)</w:t>
      </w:r>
    </w:p>
    <w:p w:rsidR="0085029D" w:rsidRPr="00CD5505" w:rsidRDefault="0085029D" w:rsidP="00CD5505">
      <w:pPr>
        <w:autoSpaceDE w:val="0"/>
        <w:autoSpaceDN w:val="0"/>
        <w:adjustRightInd w:val="0"/>
        <w:spacing w:after="0" w:line="240" w:lineRule="auto"/>
        <w:jc w:val="both"/>
        <w:rPr>
          <w:rFonts w:ascii="Arial" w:hAnsi="Arial" w:cs="Arial"/>
        </w:rPr>
      </w:pPr>
    </w:p>
    <w:p w:rsidR="0085029D" w:rsidRPr="00CD5505" w:rsidRDefault="0085029D" w:rsidP="00CD5505">
      <w:pPr>
        <w:autoSpaceDE w:val="0"/>
        <w:autoSpaceDN w:val="0"/>
        <w:adjustRightInd w:val="0"/>
        <w:spacing w:after="0" w:line="240" w:lineRule="auto"/>
        <w:jc w:val="both"/>
        <w:rPr>
          <w:rFonts w:ascii="Arial" w:hAnsi="Arial" w:cs="Arial"/>
        </w:rPr>
      </w:pPr>
      <w:r w:rsidRPr="00CD5505">
        <w:rPr>
          <w:rFonts w:ascii="Arial" w:hAnsi="Arial" w:cs="Arial"/>
          <w:b/>
        </w:rPr>
        <w:t>La Commission d’Appel d’Offres</w:t>
      </w:r>
      <w:r w:rsidRPr="00CD5505">
        <w:rPr>
          <w:rFonts w:ascii="Arial" w:hAnsi="Arial" w:cs="Arial"/>
        </w:rPr>
        <w:t xml:space="preserve"> est composée de </w:t>
      </w:r>
      <w:r w:rsidRPr="00CD5505">
        <w:rPr>
          <w:rFonts w:ascii="Arial" w:hAnsi="Arial" w:cs="Arial"/>
          <w:b/>
          <w:bCs/>
        </w:rPr>
        <w:t xml:space="preserve">trois membres </w:t>
      </w:r>
      <w:r w:rsidRPr="00CD5505">
        <w:rPr>
          <w:rFonts w:ascii="Arial" w:hAnsi="Arial" w:cs="Arial"/>
        </w:rPr>
        <w:t xml:space="preserve">titulaires pour les communes de </w:t>
      </w:r>
      <w:r w:rsidRPr="00CD5505">
        <w:rPr>
          <w:rFonts w:ascii="Arial" w:hAnsi="Arial" w:cs="Arial"/>
          <w:b/>
          <w:bCs/>
        </w:rPr>
        <w:t xml:space="preserve">moins de 3.500 habitants </w:t>
      </w:r>
      <w:r w:rsidRPr="00CD5505">
        <w:rPr>
          <w:rFonts w:ascii="Arial" w:hAnsi="Arial" w:cs="Arial"/>
        </w:rPr>
        <w:t>et un nombre égal de membres suppléants.</w:t>
      </w:r>
    </w:p>
    <w:p w:rsidR="0085029D" w:rsidRPr="00CD5505" w:rsidRDefault="0085029D" w:rsidP="00CD5505">
      <w:pPr>
        <w:autoSpaceDE w:val="0"/>
        <w:autoSpaceDN w:val="0"/>
        <w:adjustRightInd w:val="0"/>
        <w:spacing w:after="0" w:line="240" w:lineRule="auto"/>
        <w:jc w:val="both"/>
        <w:rPr>
          <w:rFonts w:ascii="Arial" w:hAnsi="Arial" w:cs="Arial"/>
        </w:rPr>
      </w:pPr>
    </w:p>
    <w:p w:rsidR="00CD5505" w:rsidRPr="00CD5505" w:rsidRDefault="00CD5505" w:rsidP="00CD5505">
      <w:pPr>
        <w:autoSpaceDE w:val="0"/>
        <w:autoSpaceDN w:val="0"/>
        <w:adjustRightInd w:val="0"/>
        <w:spacing w:after="0" w:line="240" w:lineRule="auto"/>
        <w:jc w:val="both"/>
        <w:rPr>
          <w:rFonts w:ascii="Arial" w:hAnsi="Arial" w:cs="Arial"/>
        </w:rPr>
      </w:pPr>
    </w:p>
    <w:p w:rsidR="0085029D" w:rsidRPr="00CD5505" w:rsidRDefault="0085029D" w:rsidP="00CD5505">
      <w:pPr>
        <w:autoSpaceDE w:val="0"/>
        <w:autoSpaceDN w:val="0"/>
        <w:adjustRightInd w:val="0"/>
        <w:spacing w:after="0" w:line="240" w:lineRule="auto"/>
        <w:jc w:val="both"/>
        <w:rPr>
          <w:rFonts w:ascii="Arial" w:hAnsi="Arial" w:cs="Arial"/>
          <w:bCs/>
          <w:i/>
          <w:iCs/>
          <w:color w:val="FF0000"/>
          <w:sz w:val="20"/>
          <w:szCs w:val="20"/>
        </w:rPr>
      </w:pPr>
      <w:r w:rsidRPr="00CD5505">
        <w:rPr>
          <w:rFonts w:ascii="Arial" w:hAnsi="Arial" w:cs="Arial"/>
          <w:bCs/>
          <w:i/>
          <w:iCs/>
          <w:color w:val="FF0000"/>
          <w:sz w:val="20"/>
          <w:szCs w:val="20"/>
        </w:rPr>
        <w:t>N.B :</w:t>
      </w:r>
      <w:r w:rsidRPr="00CD5505">
        <w:rPr>
          <w:rFonts w:ascii="Arial" w:hAnsi="Arial" w:cs="Arial"/>
          <w:b/>
          <w:bCs/>
          <w:i/>
          <w:iCs/>
          <w:color w:val="FF0000"/>
          <w:sz w:val="20"/>
          <w:szCs w:val="20"/>
        </w:rPr>
        <w:t xml:space="preserve"> </w:t>
      </w:r>
      <w:r w:rsidRPr="00CD5505">
        <w:rPr>
          <w:rFonts w:ascii="Arial" w:hAnsi="Arial" w:cs="Arial"/>
          <w:i/>
          <w:iCs/>
          <w:color w:val="FF0000"/>
          <w:sz w:val="20"/>
          <w:szCs w:val="20"/>
        </w:rPr>
        <w:t xml:space="preserve">Un suppléant n’est pas le suppléant de la commission ou d’un titulaire, mais celui d’une liste </w:t>
      </w:r>
      <w:r w:rsidRPr="00CD5505">
        <w:rPr>
          <w:rFonts w:ascii="Arial" w:hAnsi="Arial" w:cs="Arial"/>
          <w:bCs/>
          <w:i/>
          <w:iCs/>
          <w:color w:val="FF0000"/>
          <w:sz w:val="20"/>
          <w:szCs w:val="20"/>
        </w:rPr>
        <w:t>!</w:t>
      </w:r>
    </w:p>
    <w:p w:rsidR="0085029D" w:rsidRPr="00CD5505" w:rsidRDefault="0085029D" w:rsidP="00CD5505">
      <w:pPr>
        <w:autoSpaceDE w:val="0"/>
        <w:autoSpaceDN w:val="0"/>
        <w:adjustRightInd w:val="0"/>
        <w:spacing w:after="0" w:line="240" w:lineRule="auto"/>
        <w:jc w:val="both"/>
        <w:rPr>
          <w:rFonts w:ascii="Arial" w:hAnsi="Arial" w:cs="Arial"/>
          <w:bCs/>
          <w:i/>
          <w:iCs/>
          <w:color w:val="FF0000"/>
          <w:sz w:val="20"/>
          <w:szCs w:val="20"/>
        </w:rPr>
      </w:pPr>
      <w:r w:rsidRPr="00CD5505">
        <w:rPr>
          <w:rFonts w:ascii="Arial" w:hAnsi="Arial" w:cs="Arial"/>
          <w:i/>
          <w:iCs/>
          <w:color w:val="FF0000"/>
          <w:sz w:val="20"/>
          <w:szCs w:val="20"/>
        </w:rPr>
        <w:t xml:space="preserve">L’élection des suppléants a lieu selon les mêmes modalités que celle des titulaires et en nombre égal </w:t>
      </w:r>
      <w:r w:rsidRPr="00CD5505">
        <w:rPr>
          <w:rFonts w:ascii="Arial" w:hAnsi="Arial" w:cs="Arial"/>
          <w:bCs/>
          <w:i/>
          <w:iCs/>
          <w:color w:val="FF0000"/>
          <w:sz w:val="20"/>
          <w:szCs w:val="20"/>
        </w:rPr>
        <w:t>!</w:t>
      </w:r>
    </w:p>
    <w:p w:rsidR="0085029D" w:rsidRPr="00CD5505" w:rsidRDefault="0085029D" w:rsidP="0085029D">
      <w:pPr>
        <w:autoSpaceDE w:val="0"/>
        <w:autoSpaceDN w:val="0"/>
        <w:adjustRightInd w:val="0"/>
        <w:spacing w:after="0" w:line="240" w:lineRule="auto"/>
        <w:rPr>
          <w:rFonts w:ascii="Arial" w:hAnsi="Arial" w:cs="Arial"/>
          <w:i/>
          <w:color w:val="FF0000"/>
          <w:sz w:val="20"/>
          <w:szCs w:val="20"/>
        </w:rPr>
      </w:pPr>
    </w:p>
    <w:p w:rsidR="0085029D" w:rsidRPr="00CD5505" w:rsidRDefault="0085029D" w:rsidP="0085029D">
      <w:pPr>
        <w:autoSpaceDE w:val="0"/>
        <w:autoSpaceDN w:val="0"/>
        <w:adjustRightInd w:val="0"/>
        <w:spacing w:after="0" w:line="240" w:lineRule="auto"/>
        <w:rPr>
          <w:rFonts w:ascii="Arial" w:hAnsi="Arial" w:cs="Arial"/>
          <w:i/>
          <w:color w:val="FF0000"/>
        </w:rPr>
      </w:pPr>
    </w:p>
    <w:p w:rsidR="0085029D" w:rsidRPr="00CD5505" w:rsidRDefault="0085029D" w:rsidP="0085029D">
      <w:pPr>
        <w:autoSpaceDE w:val="0"/>
        <w:autoSpaceDN w:val="0"/>
        <w:adjustRightInd w:val="0"/>
        <w:spacing w:after="0" w:line="240" w:lineRule="auto"/>
        <w:rPr>
          <w:rFonts w:ascii="Arial" w:hAnsi="Arial" w:cs="Arial"/>
        </w:rPr>
      </w:pPr>
      <w:r w:rsidRPr="00CD5505">
        <w:rPr>
          <w:rFonts w:ascii="Arial" w:hAnsi="Arial" w:cs="Arial"/>
          <w:b/>
        </w:rPr>
        <w:t>Le président de la Commission d’Appel d’Offres est de droit</w:t>
      </w:r>
      <w:r w:rsidRPr="00CD5505">
        <w:rPr>
          <w:rFonts w:ascii="Arial" w:hAnsi="Arial" w:cs="Arial"/>
        </w:rPr>
        <w:t>, le président de l’exécutif local, Maire ou Président de l’Etablissement Public. Il a la possibilité de désigner un représentant.</w:t>
      </w:r>
    </w:p>
    <w:p w:rsidR="0085029D" w:rsidRPr="00CD5505" w:rsidRDefault="0085029D" w:rsidP="0085029D">
      <w:pPr>
        <w:autoSpaceDE w:val="0"/>
        <w:autoSpaceDN w:val="0"/>
        <w:adjustRightInd w:val="0"/>
        <w:spacing w:after="0" w:line="240" w:lineRule="auto"/>
        <w:rPr>
          <w:rFonts w:ascii="Arial" w:hAnsi="Arial" w:cs="Arial"/>
        </w:rPr>
      </w:pPr>
    </w:p>
    <w:p w:rsidR="0085029D" w:rsidRPr="00CD5505" w:rsidRDefault="0085029D" w:rsidP="0085029D">
      <w:pPr>
        <w:autoSpaceDE w:val="0"/>
        <w:autoSpaceDN w:val="0"/>
        <w:adjustRightInd w:val="0"/>
        <w:spacing w:after="0" w:line="240" w:lineRule="auto"/>
        <w:rPr>
          <w:rFonts w:ascii="Arial" w:hAnsi="Arial" w:cs="Arial"/>
          <w:bCs/>
          <w:i/>
          <w:iCs/>
          <w:color w:val="FF0000"/>
          <w:sz w:val="20"/>
          <w:szCs w:val="20"/>
        </w:rPr>
      </w:pPr>
      <w:r w:rsidRPr="00CD5505">
        <w:rPr>
          <w:rFonts w:ascii="Arial" w:hAnsi="Arial" w:cs="Arial"/>
          <w:i/>
          <w:color w:val="FF0000"/>
          <w:sz w:val="20"/>
          <w:szCs w:val="20"/>
        </w:rPr>
        <w:t>N.B :</w:t>
      </w:r>
      <w:r w:rsidRPr="00CD5505">
        <w:rPr>
          <w:rFonts w:ascii="Arial" w:hAnsi="Arial" w:cs="Arial"/>
          <w:bCs/>
          <w:i/>
          <w:iCs/>
          <w:color w:val="FF0000"/>
          <w:sz w:val="20"/>
          <w:szCs w:val="20"/>
        </w:rPr>
        <w:t xml:space="preserve"> </w:t>
      </w:r>
      <w:r w:rsidRPr="00CD5505">
        <w:rPr>
          <w:rFonts w:ascii="Arial" w:hAnsi="Arial" w:cs="Arial"/>
          <w:i/>
          <w:iCs/>
          <w:color w:val="FF0000"/>
          <w:sz w:val="20"/>
          <w:szCs w:val="20"/>
        </w:rPr>
        <w:t>Le représentant du président de la CAO ne peut être désigné parmi les membres élus de la CAO</w:t>
      </w:r>
      <w:r w:rsidR="00CD5505" w:rsidRPr="00CD5505">
        <w:rPr>
          <w:rFonts w:ascii="Arial" w:hAnsi="Arial" w:cs="Arial"/>
          <w:i/>
          <w:iCs/>
          <w:color w:val="FF0000"/>
          <w:sz w:val="20"/>
          <w:szCs w:val="20"/>
        </w:rPr>
        <w:t>.</w:t>
      </w:r>
    </w:p>
    <w:p w:rsidR="0085029D" w:rsidRPr="00CD5505" w:rsidRDefault="0085029D" w:rsidP="0085029D">
      <w:pPr>
        <w:autoSpaceDE w:val="0"/>
        <w:autoSpaceDN w:val="0"/>
        <w:adjustRightInd w:val="0"/>
        <w:spacing w:after="0" w:line="240" w:lineRule="auto"/>
        <w:rPr>
          <w:rFonts w:ascii="Arial" w:hAnsi="Arial" w:cs="Arial"/>
          <w:b/>
          <w:bCs/>
          <w:iCs/>
        </w:rPr>
      </w:pPr>
    </w:p>
    <w:p w:rsidR="00843676" w:rsidRDefault="0085029D" w:rsidP="0085029D">
      <w:pPr>
        <w:autoSpaceDE w:val="0"/>
        <w:autoSpaceDN w:val="0"/>
        <w:adjustRightInd w:val="0"/>
        <w:spacing w:after="0" w:line="240" w:lineRule="auto"/>
        <w:rPr>
          <w:rFonts w:ascii="Arial" w:hAnsi="Arial" w:cs="Arial"/>
        </w:rPr>
      </w:pPr>
      <w:r w:rsidRPr="00CD5505">
        <w:rPr>
          <w:rFonts w:ascii="Arial" w:hAnsi="Arial" w:cs="Arial"/>
          <w:b/>
          <w:bCs/>
        </w:rPr>
        <w:t>La Commission d’Appel d’Offres</w:t>
      </w:r>
      <w:r w:rsidRPr="00CD5505">
        <w:rPr>
          <w:rFonts w:ascii="Arial" w:hAnsi="Arial" w:cs="Arial"/>
        </w:rPr>
        <w:t xml:space="preserve"> est appelée à prendre des </w:t>
      </w:r>
      <w:r w:rsidRPr="00CD5505">
        <w:rPr>
          <w:rFonts w:ascii="Arial" w:hAnsi="Arial" w:cs="Arial"/>
          <w:b/>
          <w:bCs/>
        </w:rPr>
        <w:t>décisions</w:t>
      </w:r>
      <w:r w:rsidR="00843676" w:rsidRPr="00CD5505">
        <w:rPr>
          <w:rFonts w:ascii="Arial" w:hAnsi="Arial" w:cs="Arial"/>
          <w:b/>
          <w:bCs/>
        </w:rPr>
        <w:t xml:space="preserve">. </w:t>
      </w:r>
      <w:r w:rsidRPr="00CD5505">
        <w:rPr>
          <w:rFonts w:ascii="Arial" w:hAnsi="Arial" w:cs="Arial"/>
        </w:rPr>
        <w:t xml:space="preserve">C’est son rôle dans la plupart des procédures de marché public formalisées. </w:t>
      </w:r>
    </w:p>
    <w:p w:rsidR="00CD5505" w:rsidRDefault="00CD5505" w:rsidP="0085029D">
      <w:pPr>
        <w:autoSpaceDE w:val="0"/>
        <w:autoSpaceDN w:val="0"/>
        <w:adjustRightInd w:val="0"/>
        <w:spacing w:after="0" w:line="240" w:lineRule="auto"/>
        <w:rPr>
          <w:rFonts w:ascii="Arial" w:hAnsi="Arial" w:cs="Arial"/>
        </w:rPr>
      </w:pPr>
    </w:p>
    <w:p w:rsidR="00CD5505" w:rsidRPr="00CD5505" w:rsidRDefault="00CD5505" w:rsidP="0085029D">
      <w:pPr>
        <w:autoSpaceDE w:val="0"/>
        <w:autoSpaceDN w:val="0"/>
        <w:adjustRightInd w:val="0"/>
        <w:spacing w:after="0" w:line="240" w:lineRule="auto"/>
        <w:rPr>
          <w:rFonts w:ascii="Arial" w:hAnsi="Arial" w:cs="Arial"/>
        </w:rPr>
      </w:pPr>
    </w:p>
    <w:p w:rsidR="00843676" w:rsidRDefault="00843676" w:rsidP="0085029D">
      <w:pPr>
        <w:autoSpaceDE w:val="0"/>
        <w:autoSpaceDN w:val="0"/>
        <w:adjustRightInd w:val="0"/>
        <w:spacing w:after="0" w:line="240" w:lineRule="auto"/>
        <w:rPr>
          <w:rFonts w:ascii="Arial" w:hAnsi="Arial" w:cs="Arial"/>
        </w:rPr>
      </w:pPr>
    </w:p>
    <w:p w:rsidR="00CD5505" w:rsidRPr="00CD5505" w:rsidRDefault="00CD5505" w:rsidP="0085029D">
      <w:pPr>
        <w:autoSpaceDE w:val="0"/>
        <w:autoSpaceDN w:val="0"/>
        <w:adjustRightInd w:val="0"/>
        <w:spacing w:after="0" w:line="240" w:lineRule="auto"/>
        <w:rPr>
          <w:rFonts w:ascii="Arial" w:hAnsi="Arial" w:cs="Arial"/>
        </w:rPr>
      </w:pPr>
    </w:p>
    <w:p w:rsidR="0085029D" w:rsidRPr="00CD5505" w:rsidRDefault="0085029D" w:rsidP="0085029D">
      <w:pPr>
        <w:autoSpaceDE w:val="0"/>
        <w:autoSpaceDN w:val="0"/>
        <w:adjustRightInd w:val="0"/>
        <w:spacing w:after="0" w:line="240" w:lineRule="auto"/>
        <w:rPr>
          <w:rFonts w:ascii="Arial" w:hAnsi="Arial" w:cs="Arial"/>
        </w:rPr>
      </w:pPr>
      <w:r w:rsidRPr="00CD5505">
        <w:rPr>
          <w:rFonts w:ascii="Arial" w:hAnsi="Arial" w:cs="Arial"/>
        </w:rPr>
        <w:lastRenderedPageBreak/>
        <w:t>Par exemple,</w:t>
      </w:r>
      <w:r w:rsidR="00843676" w:rsidRPr="00CD5505">
        <w:rPr>
          <w:rFonts w:ascii="Arial" w:hAnsi="Arial" w:cs="Arial"/>
        </w:rPr>
        <w:t xml:space="preserve"> </w:t>
      </w:r>
      <w:r w:rsidRPr="00CD5505">
        <w:rPr>
          <w:rFonts w:ascii="Arial" w:hAnsi="Arial" w:cs="Arial"/>
        </w:rPr>
        <w:t>dans le contexte de la procédure d’appel d’offres, c’est elle qui :</w:t>
      </w:r>
    </w:p>
    <w:p w:rsidR="00843676" w:rsidRPr="00CD5505" w:rsidRDefault="00843676" w:rsidP="0085029D">
      <w:pPr>
        <w:autoSpaceDE w:val="0"/>
        <w:autoSpaceDN w:val="0"/>
        <w:adjustRightInd w:val="0"/>
        <w:spacing w:after="0" w:line="240" w:lineRule="auto"/>
        <w:rPr>
          <w:rFonts w:ascii="Arial" w:hAnsi="Arial" w:cs="Arial"/>
          <w:iCs/>
        </w:rPr>
      </w:pPr>
    </w:p>
    <w:p w:rsidR="0085029D" w:rsidRPr="00CD5505" w:rsidRDefault="00843676" w:rsidP="0085029D">
      <w:pPr>
        <w:autoSpaceDE w:val="0"/>
        <w:autoSpaceDN w:val="0"/>
        <w:adjustRightInd w:val="0"/>
        <w:spacing w:after="0" w:line="240" w:lineRule="auto"/>
        <w:rPr>
          <w:rFonts w:ascii="Arial" w:hAnsi="Arial" w:cs="Arial"/>
        </w:rPr>
      </w:pPr>
      <w:r w:rsidRPr="00CD5505">
        <w:rPr>
          <w:rFonts w:ascii="Arial" w:hAnsi="Arial" w:cs="Arial"/>
          <w:iCs/>
        </w:rPr>
        <w:t>-</w:t>
      </w:r>
      <w:r w:rsidR="0085029D" w:rsidRPr="00CD5505">
        <w:rPr>
          <w:rFonts w:ascii="Arial" w:eastAsia="Wingdings-Regular" w:hAnsi="Arial" w:cs="Arial"/>
        </w:rPr>
        <w:t xml:space="preserve"> </w:t>
      </w:r>
      <w:r w:rsidR="0085029D" w:rsidRPr="00CD5505">
        <w:rPr>
          <w:rFonts w:ascii="Arial" w:hAnsi="Arial" w:cs="Arial"/>
        </w:rPr>
        <w:t>Elimine les offres inappropriées ainsi que les offres irrégulières ou inacceptables</w:t>
      </w:r>
      <w:r w:rsidRPr="00CD5505">
        <w:rPr>
          <w:rFonts w:ascii="Arial" w:hAnsi="Arial" w:cs="Arial"/>
        </w:rPr>
        <w:t>.</w:t>
      </w:r>
    </w:p>
    <w:p w:rsidR="0085029D" w:rsidRPr="00CD5505" w:rsidRDefault="00843676" w:rsidP="0085029D">
      <w:pPr>
        <w:autoSpaceDE w:val="0"/>
        <w:autoSpaceDN w:val="0"/>
        <w:adjustRightInd w:val="0"/>
        <w:spacing w:after="0" w:line="240" w:lineRule="auto"/>
        <w:rPr>
          <w:rFonts w:ascii="Arial" w:hAnsi="Arial" w:cs="Arial"/>
        </w:rPr>
      </w:pPr>
      <w:r w:rsidRPr="00CD5505">
        <w:rPr>
          <w:rFonts w:ascii="Arial" w:hAnsi="Arial" w:cs="Arial"/>
        </w:rPr>
        <w:t>-</w:t>
      </w:r>
      <w:r w:rsidR="0085029D" w:rsidRPr="00CD5505">
        <w:rPr>
          <w:rFonts w:ascii="Arial" w:eastAsia="Wingdings-Regular" w:hAnsi="Arial" w:cs="Arial"/>
        </w:rPr>
        <w:t xml:space="preserve"> </w:t>
      </w:r>
      <w:r w:rsidR="0085029D" w:rsidRPr="00CD5505">
        <w:rPr>
          <w:rFonts w:ascii="Arial" w:hAnsi="Arial" w:cs="Arial"/>
        </w:rPr>
        <w:t>Classe les offres</w:t>
      </w:r>
      <w:r w:rsidRPr="00CD5505">
        <w:rPr>
          <w:rFonts w:ascii="Arial" w:hAnsi="Arial" w:cs="Arial"/>
        </w:rPr>
        <w:t>.</w:t>
      </w:r>
    </w:p>
    <w:p w:rsidR="0085029D" w:rsidRPr="00CD5505" w:rsidRDefault="00843676" w:rsidP="0085029D">
      <w:pPr>
        <w:autoSpaceDE w:val="0"/>
        <w:autoSpaceDN w:val="0"/>
        <w:adjustRightInd w:val="0"/>
        <w:spacing w:after="0" w:line="240" w:lineRule="auto"/>
        <w:rPr>
          <w:rFonts w:ascii="Arial" w:hAnsi="Arial" w:cs="Arial"/>
        </w:rPr>
      </w:pPr>
      <w:r w:rsidRPr="00CD5505">
        <w:rPr>
          <w:rFonts w:ascii="Arial" w:hAnsi="Arial" w:cs="Arial"/>
        </w:rPr>
        <w:t>-</w:t>
      </w:r>
      <w:r w:rsidR="0085029D" w:rsidRPr="00CD5505">
        <w:rPr>
          <w:rFonts w:ascii="Arial" w:eastAsia="Wingdings-Regular" w:hAnsi="Arial" w:cs="Arial"/>
        </w:rPr>
        <w:t xml:space="preserve"> </w:t>
      </w:r>
      <w:r w:rsidRPr="00CD5505">
        <w:rPr>
          <w:rFonts w:ascii="Arial" w:hAnsi="Arial" w:cs="Arial"/>
        </w:rPr>
        <w:t>Chois</w:t>
      </w:r>
      <w:r w:rsidR="0085029D" w:rsidRPr="00CD5505">
        <w:rPr>
          <w:rFonts w:ascii="Arial" w:hAnsi="Arial" w:cs="Arial"/>
        </w:rPr>
        <w:t>it l’offre économiquement la plus avantageuse</w:t>
      </w:r>
      <w:r w:rsidRPr="00CD5505">
        <w:rPr>
          <w:rFonts w:ascii="Arial" w:hAnsi="Arial" w:cs="Arial"/>
        </w:rPr>
        <w:t>.</w:t>
      </w:r>
    </w:p>
    <w:p w:rsidR="0085029D" w:rsidRPr="00CD5505" w:rsidRDefault="00843676" w:rsidP="0085029D">
      <w:pPr>
        <w:autoSpaceDE w:val="0"/>
        <w:autoSpaceDN w:val="0"/>
        <w:adjustRightInd w:val="0"/>
        <w:spacing w:after="0" w:line="240" w:lineRule="auto"/>
        <w:rPr>
          <w:rFonts w:ascii="Arial" w:hAnsi="Arial" w:cs="Arial"/>
        </w:rPr>
      </w:pPr>
      <w:r w:rsidRPr="00CD5505">
        <w:rPr>
          <w:rFonts w:ascii="Arial" w:hAnsi="Arial" w:cs="Arial"/>
        </w:rPr>
        <w:t>-</w:t>
      </w:r>
      <w:r w:rsidR="0085029D" w:rsidRPr="00CD5505">
        <w:rPr>
          <w:rFonts w:ascii="Arial" w:eastAsia="Wingdings-Regular" w:hAnsi="Arial" w:cs="Arial"/>
        </w:rPr>
        <w:t xml:space="preserve"> </w:t>
      </w:r>
      <w:r w:rsidR="0085029D" w:rsidRPr="00CD5505">
        <w:rPr>
          <w:rFonts w:ascii="Arial" w:hAnsi="Arial" w:cs="Arial"/>
        </w:rPr>
        <w:t>Eventuellement, déclare l’appel d’offres sans suite ou infructueux</w:t>
      </w:r>
      <w:r w:rsidRPr="00CD5505">
        <w:rPr>
          <w:rFonts w:ascii="Arial" w:hAnsi="Arial" w:cs="Arial"/>
        </w:rPr>
        <w:t>.</w:t>
      </w:r>
    </w:p>
    <w:p w:rsidR="0085029D" w:rsidRPr="00CD5505" w:rsidRDefault="00843676" w:rsidP="0085029D">
      <w:pPr>
        <w:autoSpaceDE w:val="0"/>
        <w:autoSpaceDN w:val="0"/>
        <w:adjustRightInd w:val="0"/>
        <w:spacing w:after="0" w:line="240" w:lineRule="auto"/>
        <w:rPr>
          <w:rFonts w:ascii="Arial" w:hAnsi="Arial" w:cs="Arial"/>
        </w:rPr>
      </w:pPr>
      <w:r w:rsidRPr="00CD5505">
        <w:rPr>
          <w:rFonts w:ascii="Arial" w:hAnsi="Arial" w:cs="Arial"/>
        </w:rPr>
        <w:t>-</w:t>
      </w:r>
      <w:r w:rsidR="0085029D" w:rsidRPr="00CD5505">
        <w:rPr>
          <w:rFonts w:ascii="Arial" w:eastAsia="Wingdings-Regular" w:hAnsi="Arial" w:cs="Arial"/>
        </w:rPr>
        <w:t xml:space="preserve"> </w:t>
      </w:r>
      <w:r w:rsidR="0085029D" w:rsidRPr="00CD5505">
        <w:rPr>
          <w:rFonts w:ascii="Arial" w:hAnsi="Arial" w:cs="Arial"/>
        </w:rPr>
        <w:t>Eventuellement, choisit le type de procédure à mettre en oeuvre lorsque l’appel</w:t>
      </w:r>
      <w:r w:rsidRPr="00CD5505">
        <w:rPr>
          <w:rFonts w:ascii="Arial" w:hAnsi="Arial" w:cs="Arial"/>
        </w:rPr>
        <w:t xml:space="preserve"> </w:t>
      </w:r>
      <w:r w:rsidR="0085029D" w:rsidRPr="00CD5505">
        <w:rPr>
          <w:rFonts w:ascii="Arial" w:hAnsi="Arial" w:cs="Arial"/>
        </w:rPr>
        <w:t xml:space="preserve">d’offres est </w:t>
      </w:r>
      <w:r w:rsidR="00CD5505">
        <w:rPr>
          <w:rFonts w:ascii="Arial" w:hAnsi="Arial" w:cs="Arial"/>
        </w:rPr>
        <w:t xml:space="preserve">    </w:t>
      </w:r>
      <w:r w:rsidR="0085029D" w:rsidRPr="00CD5505">
        <w:rPr>
          <w:rFonts w:ascii="Arial" w:hAnsi="Arial" w:cs="Arial"/>
        </w:rPr>
        <w:t>déclaré infructueux.</w:t>
      </w:r>
    </w:p>
    <w:p w:rsidR="00843676" w:rsidRPr="00CD5505" w:rsidRDefault="00843676" w:rsidP="0085029D">
      <w:pPr>
        <w:autoSpaceDE w:val="0"/>
        <w:autoSpaceDN w:val="0"/>
        <w:adjustRightInd w:val="0"/>
        <w:spacing w:after="0" w:line="240" w:lineRule="auto"/>
        <w:rPr>
          <w:rFonts w:ascii="Arial" w:hAnsi="Arial" w:cs="Arial"/>
        </w:rPr>
      </w:pPr>
    </w:p>
    <w:p w:rsidR="0085029D" w:rsidRPr="00CD5505" w:rsidRDefault="0085029D" w:rsidP="0085029D">
      <w:pPr>
        <w:autoSpaceDE w:val="0"/>
        <w:autoSpaceDN w:val="0"/>
        <w:adjustRightInd w:val="0"/>
        <w:spacing w:after="0" w:line="240" w:lineRule="auto"/>
        <w:rPr>
          <w:rFonts w:ascii="Arial" w:hAnsi="Arial" w:cs="Arial"/>
          <w:b/>
          <w:bCs/>
        </w:rPr>
      </w:pPr>
      <w:r w:rsidRPr="00CD5505">
        <w:rPr>
          <w:rFonts w:ascii="Arial" w:hAnsi="Arial" w:cs="Arial"/>
        </w:rPr>
        <w:t xml:space="preserve">Elle peut aussi avoir à donner un </w:t>
      </w:r>
      <w:r w:rsidRPr="00CD5505">
        <w:rPr>
          <w:rFonts w:ascii="Arial" w:hAnsi="Arial" w:cs="Arial"/>
          <w:b/>
          <w:bCs/>
        </w:rPr>
        <w:t>avis :</w:t>
      </w:r>
    </w:p>
    <w:p w:rsidR="00843676" w:rsidRPr="00CD5505" w:rsidRDefault="00843676" w:rsidP="0085029D">
      <w:pPr>
        <w:autoSpaceDE w:val="0"/>
        <w:autoSpaceDN w:val="0"/>
        <w:adjustRightInd w:val="0"/>
        <w:spacing w:after="0" w:line="240" w:lineRule="auto"/>
        <w:rPr>
          <w:rFonts w:ascii="Arial" w:hAnsi="Arial" w:cs="Arial"/>
          <w:b/>
          <w:bCs/>
        </w:rPr>
      </w:pPr>
    </w:p>
    <w:p w:rsidR="0085029D" w:rsidRPr="00CD5505" w:rsidRDefault="00843676" w:rsidP="0085029D">
      <w:pPr>
        <w:autoSpaceDE w:val="0"/>
        <w:autoSpaceDN w:val="0"/>
        <w:adjustRightInd w:val="0"/>
        <w:spacing w:after="0" w:line="240" w:lineRule="auto"/>
        <w:rPr>
          <w:rFonts w:ascii="Arial" w:hAnsi="Arial" w:cs="Arial"/>
          <w:sz w:val="20"/>
        </w:rPr>
      </w:pPr>
      <w:r w:rsidRPr="00CD5505">
        <w:rPr>
          <w:rFonts w:ascii="Arial" w:hAnsi="Arial" w:cs="Arial"/>
          <w:bCs/>
        </w:rPr>
        <w:t>-</w:t>
      </w:r>
      <w:r w:rsidR="0085029D" w:rsidRPr="00CD5505">
        <w:rPr>
          <w:rFonts w:ascii="Arial" w:eastAsia="Wingdings-Regular" w:hAnsi="Arial" w:cs="Arial"/>
        </w:rPr>
        <w:t xml:space="preserve"> </w:t>
      </w:r>
      <w:r w:rsidR="0085029D" w:rsidRPr="00CD5505">
        <w:rPr>
          <w:rFonts w:ascii="Arial" w:hAnsi="Arial" w:cs="Arial"/>
          <w:sz w:val="20"/>
        </w:rPr>
        <w:t>Pour la passation des avenants supérieurs à 5%</w:t>
      </w:r>
      <w:r w:rsidRPr="00CD5505">
        <w:rPr>
          <w:rFonts w:ascii="Arial" w:hAnsi="Arial" w:cs="Arial"/>
          <w:sz w:val="20"/>
        </w:rPr>
        <w:t>.</w:t>
      </w:r>
    </w:p>
    <w:p w:rsidR="0085029D" w:rsidRPr="00CD5505" w:rsidRDefault="00843676" w:rsidP="0085029D">
      <w:pPr>
        <w:autoSpaceDE w:val="0"/>
        <w:autoSpaceDN w:val="0"/>
        <w:adjustRightInd w:val="0"/>
        <w:spacing w:after="0" w:line="240" w:lineRule="auto"/>
        <w:rPr>
          <w:rFonts w:ascii="Arial" w:hAnsi="Arial" w:cs="Arial"/>
        </w:rPr>
      </w:pPr>
      <w:r w:rsidRPr="00CD5505">
        <w:rPr>
          <w:rFonts w:ascii="Arial" w:hAnsi="Arial" w:cs="Arial"/>
        </w:rPr>
        <w:t>-</w:t>
      </w:r>
      <w:r w:rsidR="0085029D" w:rsidRPr="00CD5505">
        <w:rPr>
          <w:rFonts w:ascii="Arial" w:eastAsia="Wingdings-Regular" w:hAnsi="Arial" w:cs="Arial"/>
        </w:rPr>
        <w:t xml:space="preserve"> </w:t>
      </w:r>
      <w:r w:rsidR="0085029D" w:rsidRPr="00CD5505">
        <w:rPr>
          <w:rFonts w:ascii="Arial" w:hAnsi="Arial" w:cs="Arial"/>
        </w:rPr>
        <w:t>Lorsqu’elle est constituée en jury pour les marchés de conception-réalisation ou les</w:t>
      </w:r>
      <w:r w:rsidRPr="00CD5505">
        <w:rPr>
          <w:rFonts w:ascii="Arial" w:hAnsi="Arial" w:cs="Arial"/>
        </w:rPr>
        <w:t xml:space="preserve"> </w:t>
      </w:r>
      <w:r w:rsidR="0085029D" w:rsidRPr="00CD5505">
        <w:rPr>
          <w:rFonts w:ascii="Arial" w:hAnsi="Arial" w:cs="Arial"/>
        </w:rPr>
        <w:t>concours</w:t>
      </w:r>
      <w:r w:rsidRPr="00CD5505">
        <w:rPr>
          <w:rFonts w:ascii="Arial" w:hAnsi="Arial" w:cs="Arial"/>
        </w:rPr>
        <w:t>.</w:t>
      </w:r>
    </w:p>
    <w:p w:rsidR="00843676" w:rsidRPr="00CD5505" w:rsidRDefault="00843676" w:rsidP="0085029D">
      <w:pPr>
        <w:autoSpaceDE w:val="0"/>
        <w:autoSpaceDN w:val="0"/>
        <w:adjustRightInd w:val="0"/>
        <w:spacing w:after="0" w:line="240" w:lineRule="auto"/>
        <w:rPr>
          <w:rFonts w:ascii="Arial" w:hAnsi="Arial" w:cs="Arial"/>
        </w:rPr>
      </w:pPr>
    </w:p>
    <w:p w:rsidR="0085029D" w:rsidRPr="00CD5505" w:rsidRDefault="0085029D" w:rsidP="0085029D">
      <w:pPr>
        <w:autoSpaceDE w:val="0"/>
        <w:autoSpaceDN w:val="0"/>
        <w:adjustRightInd w:val="0"/>
        <w:spacing w:after="0" w:line="240" w:lineRule="auto"/>
        <w:rPr>
          <w:rFonts w:ascii="Arial" w:hAnsi="Arial" w:cs="Arial"/>
        </w:rPr>
      </w:pPr>
      <w:r w:rsidRPr="00CD5505">
        <w:rPr>
          <w:rFonts w:ascii="Arial" w:hAnsi="Arial" w:cs="Arial"/>
        </w:rPr>
        <w:t>Outre le « noyau dur » que constituent les élus, président et membres, l’article 23 du CMP</w:t>
      </w:r>
      <w:r w:rsidR="00843676" w:rsidRPr="00CD5505">
        <w:rPr>
          <w:rFonts w:ascii="Arial" w:hAnsi="Arial" w:cs="Arial"/>
        </w:rPr>
        <w:t xml:space="preserve"> </w:t>
      </w:r>
      <w:r w:rsidRPr="00CD5505">
        <w:rPr>
          <w:rFonts w:ascii="Arial" w:hAnsi="Arial" w:cs="Arial"/>
        </w:rPr>
        <w:t>prévoit que :</w:t>
      </w:r>
      <w:r w:rsidR="00843676" w:rsidRPr="00CD5505">
        <w:rPr>
          <w:rFonts w:ascii="Arial" w:hAnsi="Arial" w:cs="Arial"/>
        </w:rPr>
        <w:t xml:space="preserve"> </w:t>
      </w:r>
      <w:r w:rsidRPr="00CD5505">
        <w:rPr>
          <w:rFonts w:ascii="Arial" w:hAnsi="Arial" w:cs="Arial"/>
          <w:iCs/>
        </w:rPr>
        <w:t xml:space="preserve">« Peuvent participer, avec voix consultative, aux réunions de la CAO </w:t>
      </w:r>
      <w:r w:rsidRPr="00CD5505">
        <w:rPr>
          <w:rFonts w:ascii="Arial" w:hAnsi="Arial" w:cs="Arial"/>
        </w:rPr>
        <w:t>» :</w:t>
      </w:r>
    </w:p>
    <w:p w:rsidR="00843676" w:rsidRPr="00CD5505" w:rsidRDefault="00843676" w:rsidP="0085029D">
      <w:pPr>
        <w:autoSpaceDE w:val="0"/>
        <w:autoSpaceDN w:val="0"/>
        <w:adjustRightInd w:val="0"/>
        <w:spacing w:after="0" w:line="240" w:lineRule="auto"/>
        <w:rPr>
          <w:rFonts w:ascii="Arial" w:hAnsi="Arial" w:cs="Arial"/>
        </w:rPr>
      </w:pPr>
    </w:p>
    <w:p w:rsidR="0085029D" w:rsidRPr="00CD5505" w:rsidRDefault="00843676" w:rsidP="0085029D">
      <w:pPr>
        <w:autoSpaceDE w:val="0"/>
        <w:autoSpaceDN w:val="0"/>
        <w:adjustRightInd w:val="0"/>
        <w:spacing w:after="0" w:line="240" w:lineRule="auto"/>
        <w:rPr>
          <w:rFonts w:ascii="Arial" w:hAnsi="Arial" w:cs="Arial"/>
        </w:rPr>
      </w:pPr>
      <w:r w:rsidRPr="00CD5505">
        <w:rPr>
          <w:rFonts w:ascii="Arial" w:eastAsia="Arial Unicode MS" w:hAnsi="Arial" w:cs="Arial"/>
        </w:rPr>
        <w:t>-</w:t>
      </w:r>
      <w:r w:rsidR="0085029D" w:rsidRPr="00CD5505">
        <w:rPr>
          <w:rFonts w:ascii="Arial" w:eastAsia="Wingdings-Regular" w:hAnsi="Arial" w:cs="Arial"/>
        </w:rPr>
        <w:t xml:space="preserve"> </w:t>
      </w:r>
      <w:r w:rsidR="0085029D" w:rsidRPr="00CD5505">
        <w:rPr>
          <w:rFonts w:ascii="Arial" w:hAnsi="Arial" w:cs="Arial"/>
        </w:rPr>
        <w:t>Un ou plusieurs membres du service technique compétent…</w:t>
      </w:r>
    </w:p>
    <w:p w:rsidR="0085029D" w:rsidRPr="00CD5505" w:rsidRDefault="00843676" w:rsidP="0085029D">
      <w:pPr>
        <w:autoSpaceDE w:val="0"/>
        <w:autoSpaceDN w:val="0"/>
        <w:adjustRightInd w:val="0"/>
        <w:spacing w:after="0" w:line="240" w:lineRule="auto"/>
        <w:rPr>
          <w:rFonts w:ascii="Arial" w:hAnsi="Arial" w:cs="Arial"/>
        </w:rPr>
      </w:pPr>
      <w:r w:rsidRPr="00CD5505">
        <w:rPr>
          <w:rFonts w:ascii="Arial" w:hAnsi="Arial" w:cs="Arial"/>
        </w:rPr>
        <w:t>-</w:t>
      </w:r>
      <w:r w:rsidR="0085029D" w:rsidRPr="00CD5505">
        <w:rPr>
          <w:rFonts w:ascii="Arial" w:eastAsia="Wingdings-Regular" w:hAnsi="Arial" w:cs="Arial"/>
        </w:rPr>
        <w:t xml:space="preserve"> </w:t>
      </w:r>
      <w:r w:rsidR="0085029D" w:rsidRPr="00CD5505">
        <w:rPr>
          <w:rFonts w:ascii="Arial" w:hAnsi="Arial" w:cs="Arial"/>
        </w:rPr>
        <w:t>Des personnalités désignées par le président de la commission en raison de leur</w:t>
      </w:r>
      <w:r w:rsidRPr="00CD5505">
        <w:rPr>
          <w:rFonts w:ascii="Arial" w:hAnsi="Arial" w:cs="Arial"/>
        </w:rPr>
        <w:t xml:space="preserve"> </w:t>
      </w:r>
      <w:r w:rsidR="0085029D" w:rsidRPr="00CD5505">
        <w:rPr>
          <w:rFonts w:ascii="Arial" w:hAnsi="Arial" w:cs="Arial"/>
        </w:rPr>
        <w:t>compétence…</w:t>
      </w:r>
    </w:p>
    <w:p w:rsidR="00843676" w:rsidRDefault="00843676" w:rsidP="0085029D">
      <w:pPr>
        <w:autoSpaceDE w:val="0"/>
        <w:autoSpaceDN w:val="0"/>
        <w:adjustRightInd w:val="0"/>
        <w:spacing w:after="0" w:line="240" w:lineRule="auto"/>
        <w:rPr>
          <w:rFonts w:ascii="Arial" w:hAnsi="Arial" w:cs="Arial"/>
        </w:rPr>
      </w:pPr>
      <w:r w:rsidRPr="00CD5505">
        <w:rPr>
          <w:rFonts w:ascii="Arial" w:hAnsi="Arial" w:cs="Arial"/>
        </w:rPr>
        <w:t xml:space="preserve">- </w:t>
      </w:r>
      <w:r w:rsidR="0085029D" w:rsidRPr="00CD5505">
        <w:rPr>
          <w:rFonts w:ascii="Arial" w:hAnsi="Arial" w:cs="Arial"/>
          <w:iCs/>
        </w:rPr>
        <w:t xml:space="preserve">« Lorsqu’ils y sont invités…..peuvent participer avec voix consultative » </w:t>
      </w:r>
      <w:r w:rsidR="0085029D" w:rsidRPr="00CD5505">
        <w:rPr>
          <w:rFonts w:ascii="Arial" w:hAnsi="Arial" w:cs="Arial"/>
        </w:rPr>
        <w:t>:</w:t>
      </w:r>
    </w:p>
    <w:p w:rsidR="00CD5505" w:rsidRPr="00CD5505" w:rsidRDefault="00CD5505" w:rsidP="0085029D">
      <w:pPr>
        <w:autoSpaceDE w:val="0"/>
        <w:autoSpaceDN w:val="0"/>
        <w:adjustRightInd w:val="0"/>
        <w:spacing w:after="0" w:line="240" w:lineRule="auto"/>
        <w:rPr>
          <w:rFonts w:ascii="Arial" w:hAnsi="Arial" w:cs="Arial"/>
        </w:rPr>
      </w:pPr>
    </w:p>
    <w:p w:rsidR="0085029D" w:rsidRPr="00CD5505" w:rsidRDefault="0085029D" w:rsidP="00CD5505">
      <w:pPr>
        <w:pStyle w:val="Paragraphedeliste"/>
        <w:numPr>
          <w:ilvl w:val="0"/>
          <w:numId w:val="6"/>
        </w:numPr>
        <w:autoSpaceDE w:val="0"/>
        <w:autoSpaceDN w:val="0"/>
        <w:adjustRightInd w:val="0"/>
        <w:spacing w:after="0" w:line="240" w:lineRule="auto"/>
        <w:rPr>
          <w:rFonts w:ascii="Arial" w:hAnsi="Arial" w:cs="Arial"/>
        </w:rPr>
      </w:pPr>
      <w:r w:rsidRPr="00CD5505">
        <w:rPr>
          <w:rFonts w:ascii="Arial" w:hAnsi="Arial" w:cs="Arial"/>
        </w:rPr>
        <w:t>Le comptable public</w:t>
      </w:r>
    </w:p>
    <w:p w:rsidR="0085029D" w:rsidRPr="00CD5505" w:rsidRDefault="0085029D" w:rsidP="00CD5505">
      <w:pPr>
        <w:pStyle w:val="Paragraphedeliste"/>
        <w:numPr>
          <w:ilvl w:val="0"/>
          <w:numId w:val="6"/>
        </w:numPr>
        <w:autoSpaceDE w:val="0"/>
        <w:autoSpaceDN w:val="0"/>
        <w:adjustRightInd w:val="0"/>
        <w:spacing w:after="0" w:line="240" w:lineRule="auto"/>
        <w:rPr>
          <w:rFonts w:ascii="Arial" w:hAnsi="Arial" w:cs="Arial"/>
        </w:rPr>
      </w:pPr>
      <w:r w:rsidRPr="00CD5505">
        <w:rPr>
          <w:rFonts w:ascii="Arial" w:hAnsi="Arial" w:cs="Arial"/>
        </w:rPr>
        <w:t>Un représentant du DGCCRF</w:t>
      </w:r>
    </w:p>
    <w:p w:rsidR="00843676" w:rsidRDefault="00843676" w:rsidP="0085029D">
      <w:pPr>
        <w:autoSpaceDE w:val="0"/>
        <w:autoSpaceDN w:val="0"/>
        <w:adjustRightInd w:val="0"/>
        <w:spacing w:after="0" w:line="240" w:lineRule="auto"/>
        <w:rPr>
          <w:rFonts w:ascii="Arial" w:hAnsi="Arial" w:cs="Arial"/>
        </w:rPr>
      </w:pPr>
    </w:p>
    <w:p w:rsidR="00CD5505" w:rsidRPr="00CD5505" w:rsidRDefault="00CD5505" w:rsidP="0085029D">
      <w:pPr>
        <w:autoSpaceDE w:val="0"/>
        <w:autoSpaceDN w:val="0"/>
        <w:adjustRightInd w:val="0"/>
        <w:spacing w:after="0" w:line="240" w:lineRule="auto"/>
        <w:rPr>
          <w:rFonts w:ascii="Arial" w:hAnsi="Arial" w:cs="Arial"/>
        </w:rPr>
      </w:pPr>
    </w:p>
    <w:p w:rsidR="0085029D" w:rsidRPr="00CD5505" w:rsidRDefault="00843676" w:rsidP="0085029D">
      <w:pPr>
        <w:autoSpaceDE w:val="0"/>
        <w:autoSpaceDN w:val="0"/>
        <w:adjustRightInd w:val="0"/>
        <w:spacing w:after="0" w:line="240" w:lineRule="auto"/>
        <w:rPr>
          <w:rFonts w:ascii="Arial" w:hAnsi="Arial" w:cs="Arial"/>
          <w:bCs/>
          <w:i/>
          <w:iCs/>
          <w:color w:val="FF0000"/>
          <w:sz w:val="20"/>
          <w:szCs w:val="20"/>
        </w:rPr>
      </w:pPr>
      <w:r w:rsidRPr="00CD5505">
        <w:rPr>
          <w:rFonts w:ascii="Arial" w:hAnsi="Arial" w:cs="Arial"/>
          <w:bCs/>
          <w:i/>
          <w:iCs/>
          <w:color w:val="FF0000"/>
          <w:sz w:val="20"/>
          <w:szCs w:val="20"/>
        </w:rPr>
        <w:t xml:space="preserve">N.B : </w:t>
      </w:r>
      <w:r w:rsidR="0085029D" w:rsidRPr="00CD5505">
        <w:rPr>
          <w:rFonts w:ascii="Arial" w:hAnsi="Arial" w:cs="Arial"/>
          <w:i/>
          <w:iCs/>
          <w:color w:val="FF0000"/>
          <w:sz w:val="20"/>
          <w:szCs w:val="20"/>
        </w:rPr>
        <w:t xml:space="preserve">Seuls les membres titulaires ont voix délibérative </w:t>
      </w:r>
      <w:r w:rsidR="0085029D" w:rsidRPr="00CD5505">
        <w:rPr>
          <w:rFonts w:ascii="Arial" w:hAnsi="Arial" w:cs="Arial"/>
          <w:bCs/>
          <w:i/>
          <w:iCs/>
          <w:color w:val="FF0000"/>
          <w:sz w:val="20"/>
          <w:szCs w:val="20"/>
        </w:rPr>
        <w:t>!</w:t>
      </w:r>
    </w:p>
    <w:p w:rsidR="00CD5505" w:rsidRPr="00CD5505" w:rsidRDefault="00CD5505" w:rsidP="0085029D">
      <w:pPr>
        <w:autoSpaceDE w:val="0"/>
        <w:autoSpaceDN w:val="0"/>
        <w:adjustRightInd w:val="0"/>
        <w:spacing w:after="0" w:line="240" w:lineRule="auto"/>
        <w:rPr>
          <w:rFonts w:ascii="Arial" w:hAnsi="Arial" w:cs="Arial"/>
          <w:bCs/>
          <w:iCs/>
          <w:sz w:val="20"/>
          <w:szCs w:val="20"/>
        </w:rPr>
      </w:pPr>
    </w:p>
    <w:p w:rsidR="00843676" w:rsidRDefault="00843676" w:rsidP="0085029D">
      <w:pPr>
        <w:autoSpaceDE w:val="0"/>
        <w:autoSpaceDN w:val="0"/>
        <w:adjustRightInd w:val="0"/>
        <w:spacing w:after="0" w:line="240" w:lineRule="auto"/>
        <w:rPr>
          <w:rFonts w:ascii="Arial" w:hAnsi="Arial" w:cs="Arial"/>
          <w:b/>
          <w:bCs/>
          <w:iCs/>
          <w:sz w:val="20"/>
          <w:szCs w:val="20"/>
        </w:rPr>
      </w:pPr>
    </w:p>
    <w:p w:rsidR="00CD5505" w:rsidRPr="00CD5505" w:rsidRDefault="00CD5505" w:rsidP="0085029D">
      <w:pPr>
        <w:autoSpaceDE w:val="0"/>
        <w:autoSpaceDN w:val="0"/>
        <w:adjustRightInd w:val="0"/>
        <w:spacing w:after="0" w:line="240" w:lineRule="auto"/>
        <w:rPr>
          <w:rFonts w:ascii="Arial" w:hAnsi="Arial" w:cs="Arial"/>
          <w:b/>
          <w:bCs/>
          <w:iCs/>
          <w:sz w:val="20"/>
          <w:szCs w:val="20"/>
        </w:rPr>
      </w:pPr>
    </w:p>
    <w:p w:rsidR="00843676" w:rsidRPr="00CD5505" w:rsidRDefault="00843676" w:rsidP="00843676">
      <w:pPr>
        <w:autoSpaceDE w:val="0"/>
        <w:autoSpaceDN w:val="0"/>
        <w:adjustRightInd w:val="0"/>
        <w:spacing w:after="0" w:line="240" w:lineRule="auto"/>
        <w:rPr>
          <w:rFonts w:ascii="Arial" w:hAnsi="Arial" w:cs="Arial"/>
        </w:rPr>
      </w:pPr>
      <w:r w:rsidRPr="00CD5505">
        <w:rPr>
          <w:rFonts w:ascii="Arial" w:hAnsi="Arial" w:cs="Arial"/>
          <w:b/>
        </w:rPr>
        <w:t>Le fonctionnement</w:t>
      </w:r>
      <w:r w:rsidRPr="00CD5505">
        <w:rPr>
          <w:rFonts w:ascii="Arial" w:hAnsi="Arial" w:cs="Arial"/>
        </w:rPr>
        <w:t xml:space="preserve"> de </w:t>
      </w:r>
      <w:r w:rsidRPr="00CD5505">
        <w:rPr>
          <w:rFonts w:ascii="Arial" w:hAnsi="Arial" w:cs="Arial"/>
          <w:b/>
        </w:rPr>
        <w:t>la Commission d’Appel d’Offres</w:t>
      </w:r>
      <w:r w:rsidRPr="00CD5505">
        <w:rPr>
          <w:rFonts w:ascii="Arial" w:hAnsi="Arial" w:cs="Arial"/>
        </w:rPr>
        <w:t xml:space="preserve"> est le suivant : </w:t>
      </w:r>
    </w:p>
    <w:p w:rsidR="00843676" w:rsidRPr="00CD5505" w:rsidRDefault="00843676" w:rsidP="00843676">
      <w:pPr>
        <w:autoSpaceDE w:val="0"/>
        <w:autoSpaceDN w:val="0"/>
        <w:adjustRightInd w:val="0"/>
        <w:spacing w:after="0" w:line="240" w:lineRule="auto"/>
        <w:rPr>
          <w:rFonts w:ascii="Arial" w:hAnsi="Arial" w:cs="Arial"/>
        </w:rPr>
      </w:pPr>
    </w:p>
    <w:p w:rsidR="0085029D" w:rsidRPr="00CD5505" w:rsidRDefault="00843676" w:rsidP="00843676">
      <w:pPr>
        <w:autoSpaceDE w:val="0"/>
        <w:autoSpaceDN w:val="0"/>
        <w:adjustRightInd w:val="0"/>
        <w:spacing w:after="0" w:line="240" w:lineRule="auto"/>
        <w:rPr>
          <w:rFonts w:ascii="Arial" w:hAnsi="Arial" w:cs="Arial"/>
        </w:rPr>
      </w:pPr>
      <w:r w:rsidRPr="00CD5505">
        <w:rPr>
          <w:rFonts w:ascii="Arial" w:hAnsi="Arial" w:cs="Arial"/>
        </w:rPr>
        <w:t xml:space="preserve">-  </w:t>
      </w:r>
      <w:r w:rsidR="0085029D" w:rsidRPr="00CD5505">
        <w:rPr>
          <w:rFonts w:ascii="Arial" w:hAnsi="Arial" w:cs="Arial"/>
        </w:rPr>
        <w:t xml:space="preserve">Convocations : </w:t>
      </w:r>
      <w:r w:rsidR="0085029D" w:rsidRPr="00CD5505">
        <w:rPr>
          <w:rFonts w:ascii="Arial" w:hAnsi="Arial" w:cs="Arial"/>
          <w:iCs/>
        </w:rPr>
        <w:t>« …au moins 5 jours francs avant la date prévue pour la réunion. »</w:t>
      </w:r>
    </w:p>
    <w:p w:rsidR="0085029D" w:rsidRDefault="0085029D" w:rsidP="0085029D">
      <w:pPr>
        <w:autoSpaceDE w:val="0"/>
        <w:autoSpaceDN w:val="0"/>
        <w:adjustRightInd w:val="0"/>
        <w:spacing w:after="0" w:line="240" w:lineRule="auto"/>
        <w:rPr>
          <w:rFonts w:ascii="Arial" w:hAnsi="Arial" w:cs="Arial"/>
          <w:iCs/>
        </w:rPr>
      </w:pPr>
      <w:r w:rsidRPr="00CD5505">
        <w:rPr>
          <w:rFonts w:ascii="Arial" w:hAnsi="Arial" w:cs="Arial"/>
          <w:iCs/>
        </w:rPr>
        <w:t xml:space="preserve">Tous les membres doivent être convoqués ; la formalité est substantielle </w:t>
      </w:r>
    </w:p>
    <w:p w:rsidR="00CD5505" w:rsidRPr="00CD5505" w:rsidRDefault="00CD5505" w:rsidP="0085029D">
      <w:pPr>
        <w:autoSpaceDE w:val="0"/>
        <w:autoSpaceDN w:val="0"/>
        <w:adjustRightInd w:val="0"/>
        <w:spacing w:after="0" w:line="240" w:lineRule="auto"/>
        <w:rPr>
          <w:rFonts w:ascii="Arial" w:hAnsi="Arial" w:cs="Arial"/>
          <w:b/>
          <w:bCs/>
          <w:iCs/>
        </w:rPr>
      </w:pPr>
    </w:p>
    <w:p w:rsidR="00843676" w:rsidRDefault="00843676" w:rsidP="0085029D">
      <w:pPr>
        <w:autoSpaceDE w:val="0"/>
        <w:autoSpaceDN w:val="0"/>
        <w:adjustRightInd w:val="0"/>
        <w:spacing w:after="0" w:line="240" w:lineRule="auto"/>
        <w:rPr>
          <w:rFonts w:ascii="Arial" w:hAnsi="Arial" w:cs="Arial"/>
          <w:iCs/>
        </w:rPr>
      </w:pPr>
      <w:r w:rsidRPr="00CD5505">
        <w:rPr>
          <w:rFonts w:ascii="Arial" w:eastAsia="Arial Unicode MS" w:hAnsi="Arial" w:cs="Arial"/>
        </w:rPr>
        <w:t>-</w:t>
      </w:r>
      <w:r w:rsidR="0085029D" w:rsidRPr="00CD5505">
        <w:rPr>
          <w:rFonts w:ascii="Arial" w:eastAsia="Wingdings-Regular" w:hAnsi="Arial" w:cs="Arial"/>
        </w:rPr>
        <w:t xml:space="preserve"> </w:t>
      </w:r>
      <w:r w:rsidR="0085029D" w:rsidRPr="00CD5505">
        <w:rPr>
          <w:rFonts w:ascii="Arial" w:hAnsi="Arial" w:cs="Arial"/>
        </w:rPr>
        <w:t xml:space="preserve">Condition de quorum : </w:t>
      </w:r>
      <w:r w:rsidR="0085029D" w:rsidRPr="00CD5505">
        <w:rPr>
          <w:rFonts w:ascii="Arial" w:hAnsi="Arial" w:cs="Arial"/>
          <w:iCs/>
        </w:rPr>
        <w:t>« Le quorum est atteint lorsque plus de la moitié des membres</w:t>
      </w:r>
      <w:r w:rsidRPr="00CD5505">
        <w:rPr>
          <w:rFonts w:ascii="Arial" w:hAnsi="Arial" w:cs="Arial"/>
          <w:iCs/>
        </w:rPr>
        <w:t xml:space="preserve"> </w:t>
      </w:r>
      <w:r w:rsidR="0085029D" w:rsidRPr="00CD5505">
        <w:rPr>
          <w:rFonts w:ascii="Arial" w:hAnsi="Arial" w:cs="Arial"/>
          <w:iCs/>
        </w:rPr>
        <w:t>ayant voix délibérative sont présents. Si, après une première convocation, ce quorum n’est</w:t>
      </w:r>
      <w:r w:rsidRPr="00CD5505">
        <w:rPr>
          <w:rFonts w:ascii="Arial" w:hAnsi="Arial" w:cs="Arial"/>
          <w:iCs/>
        </w:rPr>
        <w:t xml:space="preserve"> </w:t>
      </w:r>
      <w:r w:rsidR="0085029D" w:rsidRPr="00CD5505">
        <w:rPr>
          <w:rFonts w:ascii="Arial" w:hAnsi="Arial" w:cs="Arial"/>
          <w:iCs/>
        </w:rPr>
        <w:t>pas atteint, la commission d’appel d’offres ou le jury est à nouveau convoqué. Ils se</w:t>
      </w:r>
      <w:r w:rsidRPr="00CD5505">
        <w:rPr>
          <w:rFonts w:ascii="Arial" w:hAnsi="Arial" w:cs="Arial"/>
          <w:iCs/>
        </w:rPr>
        <w:t xml:space="preserve"> </w:t>
      </w:r>
      <w:r w:rsidR="0085029D" w:rsidRPr="00CD5505">
        <w:rPr>
          <w:rFonts w:ascii="Arial" w:hAnsi="Arial" w:cs="Arial"/>
          <w:iCs/>
        </w:rPr>
        <w:t>réunissent alors valablement sans condition de quorum. »</w:t>
      </w:r>
    </w:p>
    <w:p w:rsidR="00CD5505" w:rsidRPr="00CD5505" w:rsidRDefault="00CD5505" w:rsidP="0085029D">
      <w:pPr>
        <w:autoSpaceDE w:val="0"/>
        <w:autoSpaceDN w:val="0"/>
        <w:adjustRightInd w:val="0"/>
        <w:spacing w:after="0" w:line="240" w:lineRule="auto"/>
        <w:rPr>
          <w:rFonts w:ascii="Arial" w:hAnsi="Arial" w:cs="Arial"/>
          <w:iCs/>
        </w:rPr>
      </w:pPr>
    </w:p>
    <w:p w:rsidR="0085029D" w:rsidRPr="00CD5505" w:rsidRDefault="00843676" w:rsidP="0085029D">
      <w:pPr>
        <w:autoSpaceDE w:val="0"/>
        <w:autoSpaceDN w:val="0"/>
        <w:adjustRightInd w:val="0"/>
        <w:spacing w:after="0" w:line="240" w:lineRule="auto"/>
        <w:rPr>
          <w:rFonts w:ascii="Arial" w:hAnsi="Arial" w:cs="Arial"/>
          <w:iCs/>
        </w:rPr>
      </w:pPr>
      <w:r w:rsidRPr="00CD5505">
        <w:rPr>
          <w:rFonts w:ascii="Arial" w:eastAsia="Arial Unicode MS" w:hAnsi="Arial" w:cs="Arial"/>
        </w:rPr>
        <w:t xml:space="preserve">- </w:t>
      </w:r>
      <w:r w:rsidR="0085029D" w:rsidRPr="00CD5505">
        <w:rPr>
          <w:rFonts w:ascii="Arial" w:hAnsi="Arial" w:cs="Arial"/>
        </w:rPr>
        <w:t xml:space="preserve">Procès-verbal : </w:t>
      </w:r>
      <w:r w:rsidR="0085029D" w:rsidRPr="00CD5505">
        <w:rPr>
          <w:rFonts w:ascii="Arial" w:hAnsi="Arial" w:cs="Arial"/>
          <w:iCs/>
        </w:rPr>
        <w:t>« La commission d’appel d’offres ou le jury dresse procès-verbal de ses</w:t>
      </w:r>
      <w:r w:rsidRPr="00CD5505">
        <w:rPr>
          <w:rFonts w:ascii="Arial" w:hAnsi="Arial" w:cs="Arial"/>
          <w:iCs/>
        </w:rPr>
        <w:t xml:space="preserve"> </w:t>
      </w:r>
      <w:r w:rsidR="0085029D" w:rsidRPr="00CD5505">
        <w:rPr>
          <w:rFonts w:ascii="Arial" w:hAnsi="Arial" w:cs="Arial"/>
          <w:iCs/>
        </w:rPr>
        <w:t>réunions. Tous les membres de la commission ou du jury peuvent demander que leurs</w:t>
      </w:r>
      <w:r w:rsidRPr="00CD5505">
        <w:rPr>
          <w:rFonts w:ascii="Arial" w:hAnsi="Arial" w:cs="Arial"/>
          <w:iCs/>
        </w:rPr>
        <w:t xml:space="preserve"> </w:t>
      </w:r>
      <w:r w:rsidR="0085029D" w:rsidRPr="00CD5505">
        <w:rPr>
          <w:rFonts w:ascii="Arial" w:hAnsi="Arial" w:cs="Arial"/>
          <w:iCs/>
        </w:rPr>
        <w:t>observations soient portées au procès-verbal. »</w:t>
      </w:r>
    </w:p>
    <w:p w:rsidR="0085029D" w:rsidRPr="00CD5505" w:rsidRDefault="0085029D" w:rsidP="0085029D">
      <w:pPr>
        <w:autoSpaceDE w:val="0"/>
        <w:autoSpaceDN w:val="0"/>
        <w:adjustRightInd w:val="0"/>
        <w:spacing w:after="0" w:line="240" w:lineRule="auto"/>
        <w:rPr>
          <w:rFonts w:ascii="Arial" w:hAnsi="Arial" w:cs="Arial"/>
          <w:b/>
          <w:bCs/>
          <w:iCs/>
        </w:rPr>
      </w:pPr>
      <w:r w:rsidRPr="00CD5505">
        <w:rPr>
          <w:rFonts w:ascii="Arial" w:hAnsi="Arial" w:cs="Arial"/>
          <w:iCs/>
        </w:rPr>
        <w:t>La rédaction du PV doit être suffisamment détaillée ; doit y apparaître la motivation des décisions</w:t>
      </w:r>
      <w:r w:rsidR="00843676" w:rsidRPr="00CD5505">
        <w:rPr>
          <w:rFonts w:ascii="Arial" w:hAnsi="Arial" w:cs="Arial"/>
          <w:iCs/>
        </w:rPr>
        <w:t>.</w:t>
      </w:r>
    </w:p>
    <w:p w:rsidR="0085029D" w:rsidRPr="00CD5505" w:rsidRDefault="0085029D" w:rsidP="0085029D">
      <w:pPr>
        <w:rPr>
          <w:rFonts w:ascii="Arial" w:hAnsi="Arial" w:cs="Arial"/>
          <w:b/>
        </w:rPr>
      </w:pPr>
    </w:p>
    <w:p w:rsidR="0085029D" w:rsidRPr="0085029D" w:rsidRDefault="0085029D" w:rsidP="0085029D">
      <w:pPr>
        <w:jc w:val="center"/>
        <w:rPr>
          <w:b/>
          <w:sz w:val="36"/>
          <w:szCs w:val="36"/>
        </w:rPr>
      </w:pPr>
    </w:p>
    <w:sectPr w:rsidR="0085029D" w:rsidRPr="0085029D" w:rsidSect="002427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D0D23"/>
    <w:multiLevelType w:val="hybridMultilevel"/>
    <w:tmpl w:val="EEDACB72"/>
    <w:lvl w:ilvl="0" w:tplc="255A609E">
      <w:start w:val="14"/>
      <w:numFmt w:val="bullet"/>
      <w:lvlText w:val="-"/>
      <w:lvlJc w:val="left"/>
      <w:pPr>
        <w:ind w:left="720" w:hanging="360"/>
      </w:pPr>
      <w:rPr>
        <w:rFonts w:ascii="Calibri" w:eastAsiaTheme="minorHAnsi" w:hAnsi="Calibri"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6792F61"/>
    <w:multiLevelType w:val="hybridMultilevel"/>
    <w:tmpl w:val="D0A4A89C"/>
    <w:lvl w:ilvl="0" w:tplc="473C1A92">
      <w:start w:val="14"/>
      <w:numFmt w:val="bullet"/>
      <w:lvlText w:val="-"/>
      <w:lvlJc w:val="left"/>
      <w:pPr>
        <w:ind w:left="720" w:hanging="360"/>
      </w:pPr>
      <w:rPr>
        <w:rFonts w:ascii="Calibri" w:eastAsiaTheme="minorHAnsi" w:hAnsi="Calibri"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4527109"/>
    <w:multiLevelType w:val="hybridMultilevel"/>
    <w:tmpl w:val="90C42F22"/>
    <w:lvl w:ilvl="0" w:tplc="E4E60852">
      <w:start w:val="14"/>
      <w:numFmt w:val="bullet"/>
      <w:lvlText w:val="-"/>
      <w:lvlJc w:val="left"/>
      <w:pPr>
        <w:ind w:left="720" w:hanging="360"/>
      </w:pPr>
      <w:rPr>
        <w:rFonts w:ascii="Calibri" w:eastAsiaTheme="minorHAnsi" w:hAnsi="Calibri" w:cs="Arial-BoldM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CBF2F10"/>
    <w:multiLevelType w:val="hybridMultilevel"/>
    <w:tmpl w:val="2D1615B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4EE97732"/>
    <w:multiLevelType w:val="hybridMultilevel"/>
    <w:tmpl w:val="E71EFC58"/>
    <w:lvl w:ilvl="0" w:tplc="97E48A38">
      <w:start w:val="14"/>
      <w:numFmt w:val="bullet"/>
      <w:lvlText w:val="-"/>
      <w:lvlJc w:val="left"/>
      <w:pPr>
        <w:ind w:left="720" w:hanging="360"/>
      </w:pPr>
      <w:rPr>
        <w:rFonts w:ascii="Calibri" w:eastAsiaTheme="minorHAnsi" w:hAnsi="Calibri"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CD87756"/>
    <w:multiLevelType w:val="hybridMultilevel"/>
    <w:tmpl w:val="9A22780E"/>
    <w:lvl w:ilvl="0" w:tplc="286042A8">
      <w:start w:val="14"/>
      <w:numFmt w:val="bullet"/>
      <w:lvlText w:val="-"/>
      <w:lvlJc w:val="left"/>
      <w:pPr>
        <w:ind w:left="720" w:hanging="360"/>
      </w:pPr>
      <w:rPr>
        <w:rFonts w:ascii="Calibri" w:eastAsiaTheme="minorHAnsi" w:hAnsi="Calibri"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29D"/>
    <w:rsid w:val="00156DFB"/>
    <w:rsid w:val="002427CE"/>
    <w:rsid w:val="00284944"/>
    <w:rsid w:val="002C32CE"/>
    <w:rsid w:val="00843676"/>
    <w:rsid w:val="0085029D"/>
    <w:rsid w:val="00CD55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02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0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2B391-1867-4844-B802-28F26F1BC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3830</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jlm</dc:creator>
  <cp:lastModifiedBy>pascal</cp:lastModifiedBy>
  <cp:revision>2</cp:revision>
  <dcterms:created xsi:type="dcterms:W3CDTF">2014-06-16T09:14:00Z</dcterms:created>
  <dcterms:modified xsi:type="dcterms:W3CDTF">2014-06-16T09:14:00Z</dcterms:modified>
</cp:coreProperties>
</file>